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1F" w:rsidRPr="003864C5" w:rsidRDefault="00EA202A" w:rsidP="00EA202A">
      <w:pPr>
        <w:jc w:val="center"/>
        <w:rPr>
          <w:rFonts w:ascii="Georgia" w:hAnsi="Georgia"/>
          <w:b/>
        </w:rPr>
      </w:pPr>
      <w:r w:rsidRPr="003864C5">
        <w:rPr>
          <w:rFonts w:ascii="Georgia" w:hAnsi="Georgia"/>
          <w:b/>
          <w:u w:val="single"/>
        </w:rPr>
        <w:t xml:space="preserve">Act </w:t>
      </w:r>
      <w:r w:rsidR="001573E9">
        <w:rPr>
          <w:rFonts w:ascii="Georgia" w:hAnsi="Georgia"/>
          <w:b/>
          <w:u w:val="single"/>
        </w:rPr>
        <w:t>II</w:t>
      </w:r>
      <w:r w:rsidRPr="003864C5">
        <w:rPr>
          <w:rFonts w:ascii="Georgia" w:hAnsi="Georgia"/>
          <w:b/>
        </w:rPr>
        <w:t xml:space="preserve"> Formal Literary Analysis </w:t>
      </w:r>
      <w:r w:rsidR="00AB4908">
        <w:rPr>
          <w:rFonts w:ascii="Georgia" w:hAnsi="Georgia"/>
          <w:b/>
        </w:rPr>
        <w:t>Paper</w:t>
      </w:r>
      <w:bookmarkStart w:id="0" w:name="_GoBack"/>
      <w:bookmarkEnd w:id="0"/>
    </w:p>
    <w:p w:rsidR="00EA202A" w:rsidRPr="003864C5" w:rsidRDefault="00EA202A" w:rsidP="00EA202A">
      <w:pPr>
        <w:rPr>
          <w:rFonts w:ascii="Georgia" w:hAnsi="Georgia"/>
        </w:rPr>
      </w:pPr>
      <w:r w:rsidRPr="003864C5">
        <w:rPr>
          <w:rFonts w:ascii="Georgia" w:hAnsi="Georgia"/>
          <w:b/>
          <w:u w:val="single"/>
        </w:rPr>
        <w:t>Your Task</w:t>
      </w:r>
      <w:r w:rsidRPr="003864C5">
        <w:rPr>
          <w:rFonts w:ascii="Georgia" w:hAnsi="Georgia"/>
        </w:rPr>
        <w:t>: Choose one of the following prompts and t</w:t>
      </w:r>
      <w:r w:rsidRPr="003864C5">
        <w:rPr>
          <w:rFonts w:ascii="Georgia" w:eastAsia="Times New Roman" w:hAnsi="Georgia" w:cs="Times New Roman"/>
        </w:rPr>
        <w:t xml:space="preserve">ype a one-ish page, double-spaced formal response analyzing Macbeth. </w:t>
      </w:r>
    </w:p>
    <w:p w:rsidR="001573E9" w:rsidRDefault="001573E9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Submit your Act II response to turnitin.com by Friday, October 11</w:t>
      </w:r>
      <w:r w:rsidRPr="001573E9">
        <w:rPr>
          <w:rFonts w:ascii="Georgia" w:eastAsia="Times New Roman" w:hAnsi="Georgia" w:cs="Times New Roman"/>
          <w:vertAlign w:val="superscript"/>
        </w:rPr>
        <w:t>th</w:t>
      </w:r>
      <w:r>
        <w:rPr>
          <w:rFonts w:ascii="Georgia" w:eastAsia="Times New Roman" w:hAnsi="Georgia" w:cs="Times New Roman"/>
        </w:rPr>
        <w:t xml:space="preserve"> at 7:20 A.M.</w:t>
      </w:r>
    </w:p>
    <w:p w:rsidR="00EA202A" w:rsidRPr="003864C5" w:rsidRDefault="00EA202A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 w:rsidRPr="003864C5">
        <w:rPr>
          <w:rFonts w:ascii="Georgia" w:eastAsia="Times New Roman" w:hAnsi="Georgia" w:cs="Times New Roman"/>
        </w:rPr>
        <w:t>Use quotes from Macbeth as evidence to support your thesis statement (Response to the prompt)</w:t>
      </w:r>
    </w:p>
    <w:p w:rsidR="00EA202A" w:rsidRPr="003864C5" w:rsidRDefault="00EA202A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 w:rsidRPr="003864C5">
        <w:rPr>
          <w:rFonts w:ascii="Georgia" w:eastAsia="Times New Roman" w:hAnsi="Georgia" w:cs="Times New Roman"/>
        </w:rPr>
        <w:t>Use a boring 12pt. font (TNR or Georgia)</w:t>
      </w:r>
    </w:p>
    <w:p w:rsidR="00EA202A" w:rsidRPr="003864C5" w:rsidRDefault="00EA202A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 w:rsidRPr="003864C5">
        <w:rPr>
          <w:rFonts w:ascii="Georgia" w:eastAsia="Times New Roman" w:hAnsi="Georgia" w:cs="Times New Roman"/>
        </w:rPr>
        <w:t xml:space="preserve">Cite act, scene, and line number after each quote </w:t>
      </w:r>
    </w:p>
    <w:p w:rsidR="00EA202A" w:rsidRPr="003864C5" w:rsidRDefault="00EA202A" w:rsidP="00EA202A">
      <w:pPr>
        <w:pStyle w:val="ListParagraph"/>
        <w:numPr>
          <w:ilvl w:val="2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 w:rsidRPr="003864C5">
        <w:rPr>
          <w:rFonts w:ascii="Georgia" w:eastAsia="Times New Roman" w:hAnsi="Georgia" w:cs="Times New Roman"/>
        </w:rPr>
        <w:t>EX: (I, ii, 64-67)</w:t>
      </w:r>
    </w:p>
    <w:p w:rsidR="00EA202A" w:rsidRPr="003864C5" w:rsidRDefault="00EA202A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 w:rsidRPr="003864C5">
        <w:rPr>
          <w:rFonts w:ascii="Georgia" w:eastAsia="Times New Roman" w:hAnsi="Georgia" w:cs="Times New Roman"/>
        </w:rPr>
        <w:t>Include a paper heading (name, date, LA class period, and Act #)</w:t>
      </w:r>
    </w:p>
    <w:p w:rsidR="00EA202A" w:rsidRPr="003864C5" w:rsidRDefault="00EA202A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 w:rsidRPr="003864C5">
        <w:rPr>
          <w:rFonts w:ascii="Georgia" w:eastAsia="Times New Roman" w:hAnsi="Georgia" w:cs="Times New Roman"/>
        </w:rPr>
        <w:t>Include a title (“Topic: Interesting Angle on that Topic” is a complex format)</w:t>
      </w:r>
    </w:p>
    <w:p w:rsidR="00EA202A" w:rsidRPr="003864C5" w:rsidRDefault="00EA202A">
      <w:pPr>
        <w:rPr>
          <w:rFonts w:ascii="Georgia" w:hAnsi="Georgia"/>
          <w:b/>
          <w:u w:val="single"/>
        </w:rPr>
      </w:pPr>
      <w:r w:rsidRPr="003864C5">
        <w:rPr>
          <w:rFonts w:ascii="Georgia" w:hAnsi="Georgia"/>
          <w:b/>
          <w:u w:val="single"/>
        </w:rPr>
        <w:t>Prompt Options:</w:t>
      </w:r>
    </w:p>
    <w:p w:rsidR="00E00142" w:rsidRPr="00A73B81" w:rsidRDefault="001573E9" w:rsidP="001573E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73B81">
        <w:rPr>
          <w:rFonts w:ascii="Georgia" w:hAnsi="Georgia"/>
          <w:sz w:val="24"/>
          <w:szCs w:val="24"/>
        </w:rPr>
        <w:t>Analyze the portrayal of gender roles</w:t>
      </w:r>
      <w:r w:rsidR="00F704D7" w:rsidRPr="00A73B81">
        <w:rPr>
          <w:rFonts w:ascii="Georgia" w:hAnsi="Georgia"/>
          <w:sz w:val="24"/>
          <w:szCs w:val="24"/>
        </w:rPr>
        <w:t xml:space="preserve"> thus far</w:t>
      </w:r>
      <w:r w:rsidR="00E612A0" w:rsidRPr="00A73B81">
        <w:rPr>
          <w:rFonts w:ascii="Georgia" w:hAnsi="Georgia"/>
          <w:sz w:val="24"/>
          <w:szCs w:val="24"/>
        </w:rPr>
        <w:t xml:space="preserve"> in the play, and how they relate to the ideas of gender roles prevalent in the Renaissance? </w:t>
      </w:r>
    </w:p>
    <w:p w:rsidR="00A73B81" w:rsidRPr="00A73B81" w:rsidRDefault="00A73B81" w:rsidP="00A73B81">
      <w:pPr>
        <w:pStyle w:val="ListParagraph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573E9" w:rsidRDefault="00E612A0" w:rsidP="001573E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612A0">
        <w:rPr>
          <w:rFonts w:ascii="Georgia" w:eastAsia="Times New Roman" w:hAnsi="Georgia" w:cs="Times New Roman"/>
          <w:sz w:val="24"/>
          <w:szCs w:val="24"/>
        </w:rPr>
        <w:t>Compare and contr</w:t>
      </w:r>
      <w:r w:rsidR="001573E9">
        <w:rPr>
          <w:rFonts w:ascii="Georgia" w:eastAsia="Times New Roman" w:hAnsi="Georgia" w:cs="Times New Roman"/>
          <w:sz w:val="24"/>
          <w:szCs w:val="24"/>
        </w:rPr>
        <w:t>ast Macbeth and Lady Macbeth - s</w:t>
      </w:r>
      <w:r w:rsidRPr="00E612A0">
        <w:rPr>
          <w:rFonts w:ascii="Georgia" w:eastAsia="Times New Roman" w:hAnsi="Georgia" w:cs="Times New Roman"/>
          <w:sz w:val="24"/>
          <w:szCs w:val="24"/>
        </w:rPr>
        <w:t xml:space="preserve">how how Macbeth and Lady Macbeth are similar in character and what sets them apart.  </w:t>
      </w:r>
    </w:p>
    <w:p w:rsidR="001573E9" w:rsidRPr="001573E9" w:rsidRDefault="001573E9" w:rsidP="001573E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864C5" w:rsidRPr="00E612A0" w:rsidRDefault="00E612A0" w:rsidP="001573E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612A0">
        <w:rPr>
          <w:rFonts w:ascii="Georgia" w:hAnsi="Georgia"/>
          <w:sz w:val="24"/>
          <w:szCs w:val="24"/>
        </w:rPr>
        <w:t>In Act 2, scenes 1-3,</w:t>
      </w:r>
      <w:r w:rsidRPr="00E612A0">
        <w:rPr>
          <w:rFonts w:ascii="Georgia" w:hAnsi="Georgia"/>
          <w:b/>
          <w:sz w:val="24"/>
          <w:szCs w:val="24"/>
        </w:rPr>
        <w:t xml:space="preserve"> </w:t>
      </w:r>
      <w:r w:rsidRPr="00E612A0">
        <w:rPr>
          <w:rFonts w:ascii="Georgia" w:hAnsi="Georgia" w:cs="Arial"/>
          <w:sz w:val="24"/>
          <w:szCs w:val="24"/>
        </w:rPr>
        <w:t>both Banquo’s and Macbeth’s fears surface in their unconscious – through dreams and visions. What do the characters’ visions reveal about them</w:t>
      </w:r>
      <w:r w:rsidR="001573E9">
        <w:rPr>
          <w:rFonts w:ascii="Georgia" w:hAnsi="Georgia" w:cs="Arial"/>
          <w:sz w:val="24"/>
          <w:szCs w:val="24"/>
        </w:rPr>
        <w:t xml:space="preserve"> and how their internal states</w:t>
      </w:r>
      <w:r w:rsidRPr="00E612A0">
        <w:rPr>
          <w:rFonts w:ascii="Georgia" w:hAnsi="Georgia" w:cs="Arial"/>
          <w:sz w:val="24"/>
          <w:szCs w:val="24"/>
        </w:rPr>
        <w:t xml:space="preserve"> </w:t>
      </w:r>
      <w:r w:rsidR="001573E9">
        <w:rPr>
          <w:rFonts w:ascii="Georgia" w:hAnsi="Georgia" w:cs="Arial"/>
          <w:sz w:val="24"/>
          <w:szCs w:val="24"/>
        </w:rPr>
        <w:t>affect</w:t>
      </w:r>
      <w:r w:rsidRPr="00E612A0">
        <w:rPr>
          <w:rFonts w:ascii="Georgia" w:hAnsi="Georgia" w:cs="Arial"/>
          <w:sz w:val="24"/>
          <w:szCs w:val="24"/>
        </w:rPr>
        <w:t xml:space="preserve"> </w:t>
      </w:r>
      <w:r w:rsidR="001573E9">
        <w:rPr>
          <w:rFonts w:ascii="Georgia" w:hAnsi="Georgia" w:cs="Arial"/>
          <w:sz w:val="24"/>
          <w:szCs w:val="24"/>
        </w:rPr>
        <w:t>their</w:t>
      </w:r>
      <w:r w:rsidRPr="00E612A0">
        <w:rPr>
          <w:rFonts w:ascii="Georgia" w:hAnsi="Georgia" w:cs="Arial"/>
          <w:sz w:val="24"/>
          <w:szCs w:val="24"/>
        </w:rPr>
        <w:t xml:space="preserve"> realities.  </w:t>
      </w:r>
    </w:p>
    <w:p w:rsidR="00E612A0" w:rsidRPr="003864C5" w:rsidRDefault="00E612A0" w:rsidP="003864C5">
      <w:pPr>
        <w:spacing w:after="0" w:line="240" w:lineRule="auto"/>
        <w:rPr>
          <w:rFonts w:ascii="Georgia" w:hAnsi="Georgia"/>
        </w:rPr>
      </w:pPr>
    </w:p>
    <w:p w:rsidR="00EA202A" w:rsidRPr="003864C5" w:rsidRDefault="00EA202A">
      <w:pPr>
        <w:rPr>
          <w:rFonts w:ascii="Georgia" w:hAnsi="Georgia"/>
          <w:b/>
          <w:u w:val="single"/>
        </w:rPr>
      </w:pPr>
      <w:r w:rsidRPr="003864C5">
        <w:rPr>
          <w:rFonts w:ascii="Georgia" w:hAnsi="Georgia"/>
          <w:b/>
          <w:u w:val="single"/>
        </w:rPr>
        <w:t>Scoring Rubric:</w:t>
      </w:r>
    </w:p>
    <w:p w:rsidR="00EA202A" w:rsidRPr="003864C5" w:rsidRDefault="00EA202A" w:rsidP="00A25990">
      <w:pPr>
        <w:spacing w:after="0" w:line="240" w:lineRule="auto"/>
        <w:rPr>
          <w:rFonts w:ascii="Georgia" w:hAnsi="Georgia"/>
          <w:u w:val="single"/>
        </w:rPr>
      </w:pPr>
      <w:r w:rsidRPr="003864C5">
        <w:rPr>
          <w:rFonts w:ascii="Georgia" w:hAnsi="Georgia"/>
          <w:u w:val="single"/>
        </w:rPr>
        <w:t>Exceeds or Meets Standard</w:t>
      </w:r>
      <w:r w:rsidRPr="003864C5">
        <w:rPr>
          <w:rFonts w:ascii="Georgia" w:hAnsi="Georgia"/>
        </w:rPr>
        <w:tab/>
      </w:r>
      <w:r w:rsidRPr="003864C5">
        <w:rPr>
          <w:rFonts w:ascii="Georgia" w:hAnsi="Georgia"/>
        </w:rPr>
        <w:tab/>
      </w:r>
      <w:r w:rsidRPr="003864C5">
        <w:rPr>
          <w:rFonts w:ascii="Georgia" w:hAnsi="Georgia"/>
          <w:u w:val="single"/>
        </w:rPr>
        <w:t>Approaching Standard</w:t>
      </w:r>
      <w:r w:rsidRPr="003864C5">
        <w:rPr>
          <w:rFonts w:ascii="Georgia" w:hAnsi="Georgia"/>
        </w:rPr>
        <w:tab/>
      </w:r>
      <w:r w:rsidR="003864C5">
        <w:rPr>
          <w:rFonts w:ascii="Georgia" w:hAnsi="Georgia"/>
        </w:rPr>
        <w:t xml:space="preserve">  </w:t>
      </w:r>
      <w:r w:rsidRPr="003864C5">
        <w:rPr>
          <w:rFonts w:ascii="Georgia" w:hAnsi="Georgia"/>
          <w:u w:val="single"/>
        </w:rPr>
        <w:t>Needs Improvement</w:t>
      </w:r>
    </w:p>
    <w:p w:rsidR="00EA202A" w:rsidRPr="003864C5" w:rsidRDefault="003864C5" w:rsidP="00A25990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15-12 points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11-9 points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 xml:space="preserve">     </w:t>
      </w:r>
      <w:r w:rsidR="00EA202A" w:rsidRPr="003864C5">
        <w:rPr>
          <w:rFonts w:ascii="Georgia" w:hAnsi="Georgia"/>
        </w:rPr>
        <w:t>8 points or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4"/>
        <w:gridCol w:w="3125"/>
      </w:tblGrid>
      <w:tr w:rsidR="00EA202A" w:rsidRPr="003864C5" w:rsidTr="00222B1F">
        <w:tc>
          <w:tcPr>
            <w:tcW w:w="3192" w:type="dxa"/>
          </w:tcPr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Compelling topic/thesis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Resonant quotations fluently integrated as evidence</w:t>
            </w:r>
          </w:p>
          <w:p w:rsidR="00EA202A" w:rsidRPr="003864C5" w:rsidRDefault="00222B1F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Perfect</w:t>
            </w:r>
            <w:r w:rsidR="00EA202A" w:rsidRPr="003864C5">
              <w:rPr>
                <w:rFonts w:ascii="Georgia" w:hAnsi="Georgia"/>
              </w:rPr>
              <w:t xml:space="preserve"> citation format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Creative, complex analysis connects evidence to thesis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 xml:space="preserve">Satisfying resolution 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Scintillating word choice and editing</w:t>
            </w:r>
          </w:p>
        </w:tc>
        <w:tc>
          <w:tcPr>
            <w:tcW w:w="3192" w:type="dxa"/>
          </w:tcPr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Simple topic/thesis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Relevant quotations used as evidence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Inconsistent citation format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Simple analysis connects evidence to thesis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Serviceable conclusion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 xml:space="preserve">Clear word choice and editing </w:t>
            </w:r>
          </w:p>
        </w:tc>
        <w:tc>
          <w:tcPr>
            <w:tcW w:w="3192" w:type="dxa"/>
          </w:tcPr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Confusing topic/thesis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Factual inaccuracies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Inappropriate evidence presented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Pervasive citation errors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Summary serves as analysis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Conclusion is lacking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Grammar, fluency, and punctuation issues confuse the reader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Format Issues</w:t>
            </w:r>
          </w:p>
        </w:tc>
      </w:tr>
    </w:tbl>
    <w:p w:rsidR="00EA202A" w:rsidRPr="003864C5" w:rsidRDefault="00EA202A">
      <w:pPr>
        <w:rPr>
          <w:rFonts w:ascii="Georgia" w:hAnsi="Georgia"/>
        </w:rPr>
      </w:pPr>
    </w:p>
    <w:sectPr w:rsidR="00EA202A" w:rsidRPr="003864C5" w:rsidSect="007F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F"/>
    <w:multiLevelType w:val="hybridMultilevel"/>
    <w:tmpl w:val="D5A6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95D1B"/>
    <w:multiLevelType w:val="hybridMultilevel"/>
    <w:tmpl w:val="DDC0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6807"/>
    <w:multiLevelType w:val="hybridMultilevel"/>
    <w:tmpl w:val="5D9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31BC"/>
    <w:multiLevelType w:val="hybridMultilevel"/>
    <w:tmpl w:val="6B6CA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2A"/>
    <w:rsid w:val="00004863"/>
    <w:rsid w:val="00030317"/>
    <w:rsid w:val="00070BAA"/>
    <w:rsid w:val="000E36AA"/>
    <w:rsid w:val="001573E9"/>
    <w:rsid w:val="00193FD7"/>
    <w:rsid w:val="00196250"/>
    <w:rsid w:val="00222B1F"/>
    <w:rsid w:val="00273811"/>
    <w:rsid w:val="003864C5"/>
    <w:rsid w:val="004A793B"/>
    <w:rsid w:val="007F2691"/>
    <w:rsid w:val="008A0252"/>
    <w:rsid w:val="00A25990"/>
    <w:rsid w:val="00A73B81"/>
    <w:rsid w:val="00AB4908"/>
    <w:rsid w:val="00CA4D1C"/>
    <w:rsid w:val="00D944B2"/>
    <w:rsid w:val="00E00142"/>
    <w:rsid w:val="00E612A0"/>
    <w:rsid w:val="00EA202A"/>
    <w:rsid w:val="00F704D7"/>
    <w:rsid w:val="00FD5AD5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BF3B"/>
  <w15:docId w15:val="{7B9C1B26-9E12-40D9-8D07-2140E22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A"/>
    <w:pPr>
      <w:ind w:left="720"/>
      <w:contextualSpacing/>
    </w:pPr>
  </w:style>
  <w:style w:type="table" w:styleId="TableGrid">
    <w:name w:val="Table Grid"/>
    <w:basedOn w:val="TableNormal"/>
    <w:uiPriority w:val="59"/>
    <w:rsid w:val="00EA2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3</cp:revision>
  <cp:lastPrinted>2017-10-19T22:11:00Z</cp:lastPrinted>
  <dcterms:created xsi:type="dcterms:W3CDTF">2017-10-19T22:26:00Z</dcterms:created>
  <dcterms:modified xsi:type="dcterms:W3CDTF">2017-10-19T22:26:00Z</dcterms:modified>
</cp:coreProperties>
</file>